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/>
          <w:b/>
          <w:i w:val="0"/>
          <w:color w:val="2453FF"/>
          <w:sz w:val="16"/>
        </w:rPr>
        <w:t>BUSINESS ANALYTICS  ·  STRATEGY  ·  OPERATIONS</w:t>
      </w:r>
    </w:p>
    <w:p>
      <w:pPr>
        <w:spacing w:before="0" w:after="20"/>
      </w:pPr>
      <w:r>
        <w:rPr>
          <w:rFonts w:ascii="Arial" w:hAnsi="Arial"/>
          <w:b/>
          <w:i w:val="0"/>
          <w:color w:val="11233F"/>
          <w:sz w:val="48"/>
        </w:rPr>
        <w:t>Abhishek Choudhary</w:t>
      </w:r>
    </w:p>
    <w:p>
      <w:pPr>
        <w:spacing w:after="80"/>
      </w:pPr>
      <w:r>
        <w:rPr>
          <w:rFonts w:ascii="Arial" w:hAnsi="Arial"/>
          <w:b w:val="0"/>
          <w:i w:val="0"/>
          <w:color w:val="555B66"/>
          <w:sz w:val="22"/>
        </w:rPr>
        <w:t>Business Analytics &amp; Strategy Candidate</w:t>
      </w:r>
    </w:p>
    <w:p>
      <w:pPr>
        <w:spacing w:after="140"/>
        <w:pBdr>
          <w:bottom w:val="single" w:sz="12" w:space="5" w:color="2453FF"/>
        </w:pBdr>
      </w:pPr>
      <w:r>
        <w:rPr>
          <w:rFonts w:ascii="Arial" w:hAnsi="Arial"/>
          <w:b w:val="0"/>
          <w:i w:val="0"/>
          <w:color w:val="555B66"/>
          <w:sz w:val="17"/>
        </w:rPr>
        <w:t xml:space="preserve">Southampton, United Kingdom  |  </w:t>
      </w:r>
      <w:hyperlink r:id="rId12">
        <w:r>
          <w:rPr>
            <w:rFonts w:ascii="Arial" w:hAnsi="Arial"/>
            <w:color w:val="2453FF"/>
            <w:sz w:val="17"/>
          </w:rPr>
          <w:t>abhishekin2005@gmail.com</w:t>
        </w:r>
      </w:hyperlink>
      <w:r>
        <w:rPr>
          <w:rFonts w:ascii="Arial" w:hAnsi="Arial"/>
          <w:b w:val="0"/>
          <w:i w:val="0"/>
          <w:color w:val="555B66"/>
          <w:sz w:val="17"/>
        </w:rPr>
        <w:t xml:space="preserve">  |  </w:t>
      </w:r>
      <w:hyperlink r:id="rId13">
        <w:r>
          <w:rPr>
            <w:rFonts w:ascii="Arial" w:hAnsi="Arial"/>
            <w:color w:val="2453FF"/>
            <w:sz w:val="17"/>
          </w:rPr>
          <w:t>LinkedIn</w:t>
        </w:r>
      </w:hyperlink>
      <w:r>
        <w:rPr>
          <w:rFonts w:ascii="Arial" w:hAnsi="Arial"/>
          <w:b w:val="0"/>
          <w:i w:val="0"/>
          <w:color w:val="555B66"/>
          <w:sz w:val="17"/>
        </w:rPr>
        <w:t xml:space="preserve">  |  </w:t>
      </w:r>
      <w:hyperlink r:id="rId14">
        <w:r>
          <w:rPr>
            <w:rFonts w:ascii="Arial" w:hAnsi="Arial"/>
            <w:color w:val="2453FF"/>
            <w:sz w:val="17"/>
          </w:rPr>
          <w:t>Analytics portfolio</w:t>
        </w:r>
      </w:hyperlink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PROFESSIONAL PROFILE</w:t>
      </w:r>
    </w:p>
    <w:p>
      <w:pPr>
        <w:spacing w:after="40" w:line="252" w:lineRule="auto"/>
      </w:pPr>
      <w:r>
        <w:rPr>
          <w:rFonts w:ascii="Arial" w:hAnsi="Arial"/>
          <w:b w:val="0"/>
          <w:i w:val="0"/>
          <w:color w:val="17191F"/>
          <w:sz w:val="19"/>
        </w:rPr>
        <w:t>Final-year BSc Business Management student at the University of Southampton with high 2:1 performance in Years 1 and 2 and experience spanning business strategy, tender coordination, operational reporting and stakeholder governance. Builds decision-ready analysis in SQL, Python, SQLite and Excel, with portfolio work across margin, churn, forecasting, customer insight and marketing ROI. Combines analytical discipline with concise executive writing and practical leadership.</w:t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ANALYTICAL &amp; BUSINESS CAPABILITY</w:t>
      </w:r>
    </w:p>
    <w:p>
      <w:pPr>
        <w:spacing w:before="0" w:after="32" w:line="240" w:lineRule="auto"/>
      </w:pPr>
      <w:r>
        <w:rPr>
          <w:rFonts w:ascii="Arial" w:hAnsi="Arial"/>
          <w:b/>
          <w:i w:val="0"/>
          <w:color w:val="11233F"/>
          <w:sz w:val="18"/>
        </w:rPr>
        <w:t xml:space="preserve">Analytics: </w:t>
      </w:r>
      <w:r>
        <w:rPr>
          <w:rFonts w:ascii="Arial" w:hAnsi="Arial"/>
          <w:b w:val="0"/>
          <w:i w:val="0"/>
          <w:color w:val="17191F"/>
          <w:sz w:val="18"/>
        </w:rPr>
        <w:t>SQL (joins, CTEs, window functions) · Python (pandas, scikit-learn) · SQLite · Excel · data quality · KPI design</w:t>
      </w:r>
    </w:p>
    <w:p>
      <w:pPr>
        <w:spacing w:before="0" w:after="32" w:line="240" w:lineRule="auto"/>
      </w:pPr>
      <w:r>
        <w:rPr>
          <w:rFonts w:ascii="Arial" w:hAnsi="Arial"/>
          <w:b/>
          <w:i w:val="0"/>
          <w:color w:val="11233F"/>
          <w:sz w:val="18"/>
        </w:rPr>
        <w:t xml:space="preserve">Business analysis: </w:t>
      </w:r>
      <w:r>
        <w:rPr>
          <w:rFonts w:ascii="Arial" w:hAnsi="Arial"/>
          <w:b w:val="0"/>
          <w:i w:val="0"/>
          <w:color w:val="17191F"/>
          <w:sz w:val="18"/>
        </w:rPr>
        <w:t>requirements · process mapping · stakeholder analysis · option appraisal · market and competitor research</w:t>
      </w:r>
    </w:p>
    <w:p>
      <w:pPr>
        <w:spacing w:before="0" w:after="32" w:line="240" w:lineRule="auto"/>
      </w:pPr>
      <w:r>
        <w:rPr>
          <w:rFonts w:ascii="Arial" w:hAnsi="Arial"/>
          <w:b/>
          <w:i w:val="0"/>
          <w:color w:val="11233F"/>
          <w:sz w:val="18"/>
        </w:rPr>
        <w:t xml:space="preserve">Communication: </w:t>
      </w:r>
      <w:r>
        <w:rPr>
          <w:rFonts w:ascii="Arial" w:hAnsi="Arial"/>
          <w:b w:val="0"/>
          <w:i w:val="0"/>
          <w:color w:val="17191F"/>
          <w:sz w:val="18"/>
        </w:rPr>
        <w:t>dashboard design · management reporting · business writing · presentations · cross-functional coordination</w:t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EXPERIENCE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Business Strategy Analyst</w:t>
      </w:r>
      <w:r>
        <w:rPr>
          <w:rFonts w:ascii="Arial" w:hAnsi="Arial"/>
          <w:b/>
          <w:i w:val="0"/>
          <w:color w:val="17191F"/>
          <w:sz w:val="19"/>
        </w:rPr>
        <w:t xml:space="preserve">  |  SRS Dynamic India Pvt. Ltd.</w:t>
      </w:r>
      <w:r>
        <w:rPr>
          <w:rFonts w:ascii="Arial" w:hAnsi="Arial"/>
          <w:b w:val="0"/>
          <w:i w:val="0"/>
          <w:color w:val="555B66"/>
          <w:sz w:val="18"/>
        </w:rPr>
        <w:t xml:space="preserve">  |  Sep 2025 – Present</w:t>
      </w:r>
      <w:r>
        <w:rPr>
          <w:rFonts w:ascii="Arial" w:hAnsi="Arial"/>
          <w:b w:val="0"/>
          <w:i/>
          <w:color w:val="555B66"/>
          <w:sz w:val="17"/>
        </w:rPr>
        <w:t xml:space="preserve">  |  Remote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Structure business, market and operational information into reports that support management planning across an infrastructure and EPC context.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Assist with tender coordination, competitor research, KPI analysis, process review and decision documentation for senior stakeholders.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Core Management Support / Intern</w:t>
      </w:r>
      <w:r>
        <w:rPr>
          <w:rFonts w:ascii="Arial" w:hAnsi="Arial"/>
          <w:b/>
          <w:i w:val="0"/>
          <w:color w:val="17191F"/>
          <w:sz w:val="19"/>
        </w:rPr>
        <w:t xml:space="preserve">  |  SRS Dynamic India Pvt. Ltd.</w:t>
      </w:r>
      <w:r>
        <w:rPr>
          <w:rFonts w:ascii="Arial" w:hAnsi="Arial"/>
          <w:b w:val="0"/>
          <w:i w:val="0"/>
          <w:color w:val="555B66"/>
          <w:sz w:val="18"/>
        </w:rPr>
        <w:t xml:space="preserve">  |  Nov 2021 – Sep 2025</w:t>
      </w:r>
      <w:r>
        <w:rPr>
          <w:rFonts w:ascii="Arial" w:hAnsi="Arial"/>
          <w:b w:val="0"/>
          <w:i/>
          <w:color w:val="555B66"/>
          <w:sz w:val="17"/>
        </w:rPr>
        <w:t xml:space="preserve">  |  Indore / Remote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Progressed from intern to core-management support, coordinating tender documentation, banking administration, online communication and operational workflows.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Student Councillor</w:t>
      </w:r>
      <w:r>
        <w:rPr>
          <w:rFonts w:ascii="Arial" w:hAnsi="Arial"/>
          <w:b/>
          <w:i w:val="0"/>
          <w:color w:val="17191F"/>
          <w:sz w:val="19"/>
        </w:rPr>
        <w:t xml:space="preserve">  |  University of Southampton Students’ Union</w:t>
      </w:r>
      <w:r>
        <w:rPr>
          <w:rFonts w:ascii="Arial" w:hAnsi="Arial"/>
          <w:b w:val="0"/>
          <w:i w:val="0"/>
          <w:color w:val="555B66"/>
          <w:sz w:val="18"/>
        </w:rPr>
        <w:t xml:space="preserve">  |  Oct 2025 – Present</w:t>
      </w:r>
      <w:r>
        <w:rPr>
          <w:rFonts w:ascii="Arial" w:hAnsi="Arial"/>
          <w:b w:val="0"/>
          <w:i/>
          <w:color w:val="555B66"/>
          <w:sz w:val="17"/>
        </w:rPr>
        <w:t xml:space="preserve">  |  Southampton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Represent the student voice in governance and policy discussions; use structured review and analytical questioning to evaluate proposals and support accountability.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Project Lead / Operations Lead — EcoRecraft</w:t>
      </w:r>
      <w:r>
        <w:rPr>
          <w:rFonts w:ascii="Arial" w:hAnsi="Arial"/>
          <w:b/>
          <w:i w:val="0"/>
          <w:color w:val="17191F"/>
          <w:sz w:val="19"/>
        </w:rPr>
        <w:t xml:space="preserve">  |  Enactus Southampton</w:t>
      </w:r>
      <w:r>
        <w:rPr>
          <w:rFonts w:ascii="Arial" w:hAnsi="Arial"/>
          <w:b w:val="0"/>
          <w:i w:val="0"/>
          <w:color w:val="555B66"/>
          <w:sz w:val="18"/>
        </w:rPr>
        <w:t xml:space="preserve">  |  Oct 2024 – Feb 2026</w:t>
      </w:r>
      <w:r>
        <w:rPr>
          <w:rFonts w:ascii="Arial" w:hAnsi="Arial"/>
          <w:b w:val="0"/>
          <w:i/>
          <w:color w:val="555B66"/>
          <w:sz w:val="17"/>
        </w:rPr>
        <w:t xml:space="preserve">  |  Southampton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Led a circular-economy venture transforming Tetra Pak waste into useful products, directing research, process design, strategy, team delivery and stakeholder engagement.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Contributed to EcoRecraft winning the Enactus Southampton Innovation Showcase and progressing to regional finalist recognition; documented processes and scalability considerations.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Retail Assistant</w:t>
      </w:r>
      <w:r>
        <w:rPr>
          <w:rFonts w:ascii="Arial" w:hAnsi="Arial"/>
          <w:b/>
          <w:i w:val="0"/>
          <w:color w:val="17191F"/>
          <w:sz w:val="19"/>
        </w:rPr>
        <w:t xml:space="preserve">  |  Sainsbury’s</w:t>
      </w:r>
      <w:r>
        <w:rPr>
          <w:rFonts w:ascii="Arial" w:hAnsi="Arial"/>
          <w:b w:val="0"/>
          <w:i w:val="0"/>
          <w:color w:val="555B66"/>
          <w:sz w:val="18"/>
        </w:rPr>
        <w:t xml:space="preserve">  |  Nov 2024 – Oct 2025</w:t>
      </w:r>
      <w:r>
        <w:rPr>
          <w:rFonts w:ascii="Arial" w:hAnsi="Arial"/>
          <w:b w:val="0"/>
          <w:i/>
          <w:color w:val="555B66"/>
          <w:sz w:val="17"/>
        </w:rPr>
        <w:t xml:space="preserve">  |  Southampton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Delivered reliable customer service and supported tills, stock and day-to-day operations in a high-volume retail team.</w:t>
      </w:r>
    </w:p>
    <w:p>
      <w:pPr>
        <w:spacing w:before="0" w:after="0"/>
      </w:pPr>
      <w:r>
        <w:br w:type="page"/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SELECTED ANALYTICS PORTFOLIO — SYNTHETIC DATA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Retail margin &amp; discount leakage</w:t>
      </w:r>
      <w:r>
        <w:rPr>
          <w:rFonts w:ascii="Arial" w:hAnsi="Arial"/>
          <w:b/>
          <w:i w:val="0"/>
          <w:color w:val="17191F"/>
          <w:sz w:val="19"/>
        </w:rPr>
        <w:t xml:space="preserve">  |  SQL</w:t>
      </w:r>
      <w:r>
        <w:rPr>
          <w:rFonts w:ascii="Arial" w:hAnsi="Arial"/>
          <w:b w:val="0"/>
          <w:i w:val="0"/>
          <w:color w:val="555B66"/>
          <w:sz w:val="18"/>
        </w:rPr>
        <w:t xml:space="preserve">  |  2,400 transactions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Built a reproducible gross-margin diagnostic using CTEs, segmentation and window functions; identified a 6.9 percentage-point margin gap on orders discounted by 15% or more.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Customer churn prioritisation</w:t>
      </w:r>
      <w:r>
        <w:rPr>
          <w:rFonts w:ascii="Arial" w:hAnsi="Arial"/>
          <w:b/>
          <w:i w:val="0"/>
          <w:color w:val="17191F"/>
          <w:sz w:val="19"/>
        </w:rPr>
        <w:t xml:space="preserve">  |  Python / scikit-learn</w:t>
      </w:r>
      <w:r>
        <w:rPr>
          <w:rFonts w:ascii="Arial" w:hAnsi="Arial"/>
          <w:b w:val="0"/>
          <w:i w:val="0"/>
          <w:color w:val="555B66"/>
          <w:sz w:val="18"/>
        </w:rPr>
        <w:t xml:space="preserve">  |  1,200 customers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Developed a transparent risk-ranking workflow (ROC-AUC 0.694); concentrated 75.8% observed churn in the highest-risk decile and documented threshold limitations.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Customer 360 &amp; sales KPI pipeline</w:t>
      </w:r>
      <w:r>
        <w:rPr>
          <w:rFonts w:ascii="Arial" w:hAnsi="Arial"/>
          <w:b/>
          <w:i w:val="0"/>
          <w:color w:val="17191F"/>
          <w:sz w:val="19"/>
        </w:rPr>
        <w:t xml:space="preserve">  |  Python + SQLite</w:t>
      </w:r>
      <w:r>
        <w:rPr>
          <w:rFonts w:ascii="Arial" w:hAnsi="Arial"/>
          <w:b w:val="0"/>
          <w:i w:val="0"/>
          <w:color w:val="555B66"/>
          <w:sz w:val="18"/>
        </w:rPr>
        <w:t xml:space="preserve">  |  600 customers / 3,547 raw orders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Applied data-quality controls, removed 47 duplicate order IDs and built an auditable customer mart that identified 134 high-value customers with declining recency.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Paid media ROI command centre</w:t>
      </w:r>
      <w:r>
        <w:rPr>
          <w:rFonts w:ascii="Arial" w:hAnsi="Arial"/>
          <w:b/>
          <w:i w:val="0"/>
          <w:color w:val="17191F"/>
          <w:sz w:val="19"/>
        </w:rPr>
        <w:t xml:space="preserve">  |  Dashboard design</w:t>
      </w:r>
      <w:r>
        <w:rPr>
          <w:rFonts w:ascii="Arial" w:hAnsi="Arial"/>
          <w:b w:val="0"/>
          <w:i w:val="0"/>
          <w:color w:val="555B66"/>
          <w:sz w:val="18"/>
        </w:rPr>
        <w:t xml:space="preserve">  |  240 campaign-month records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Designed a decision-led KPI view linking spend, conversion and revenue; framed a controlled reallocation test around 3.37x Affiliate versus 1.14x Display ROAS.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Tender pipeline &amp; bid/no-bid model</w:t>
      </w:r>
      <w:r>
        <w:rPr>
          <w:rFonts w:ascii="Arial" w:hAnsi="Arial"/>
          <w:b/>
          <w:i w:val="0"/>
          <w:color w:val="17191F"/>
          <w:sz w:val="19"/>
        </w:rPr>
        <w:t xml:space="preserve">  |  SQL</w:t>
      </w:r>
      <w:r>
        <w:rPr>
          <w:rFonts w:ascii="Arial" w:hAnsi="Arial"/>
          <w:b w:val="0"/>
          <w:i w:val="0"/>
          <w:color w:val="555B66"/>
          <w:sz w:val="18"/>
        </w:rPr>
        <w:t xml:space="preserve">  |  320 tender records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Separated open, no-bid and submitted outcomes, calculated a valid 36.8% historical win rate and converted £92.2m of open pipeline into a transparent decision queue.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Demand forecast &amp; reorder policy</w:t>
      </w:r>
      <w:r>
        <w:rPr>
          <w:rFonts w:ascii="Arial" w:hAnsi="Arial"/>
          <w:b/>
          <w:i w:val="0"/>
          <w:color w:val="17191F"/>
          <w:sz w:val="19"/>
        </w:rPr>
        <w:t xml:space="preserve">  |  Python</w:t>
      </w:r>
      <w:r>
        <w:rPr>
          <w:rFonts w:ascii="Arial" w:hAnsi="Arial"/>
          <w:b w:val="0"/>
          <w:i w:val="0"/>
          <w:color w:val="555B66"/>
          <w:sz w:val="18"/>
        </w:rPr>
        <w:t xml:space="preserve">  |  4,380 SKU-day records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Tested an explainable time-series regression on a 60-day holdout and translated demand variability plus lead time into SKU-level reorder points.</w:t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EDUCATION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BSc Business Management</w:t>
      </w:r>
      <w:r>
        <w:rPr>
          <w:rFonts w:ascii="Arial" w:hAnsi="Arial"/>
          <w:b/>
          <w:i w:val="0"/>
          <w:color w:val="17191F"/>
          <w:sz w:val="19"/>
        </w:rPr>
        <w:t xml:space="preserve">  |  University of Southampton</w:t>
      </w:r>
      <w:r>
        <w:rPr>
          <w:rFonts w:ascii="Arial" w:hAnsi="Arial"/>
          <w:b w:val="0"/>
          <w:i w:val="0"/>
          <w:color w:val="555B66"/>
          <w:sz w:val="18"/>
        </w:rPr>
        <w:t xml:space="preserve">  |  Sep 2024 – Jun 2027</w:t>
      </w:r>
      <w:r>
        <w:rPr>
          <w:rFonts w:ascii="Arial" w:hAnsi="Arial"/>
          <w:b w:val="0"/>
          <w:i/>
          <w:color w:val="555B66"/>
          <w:sz w:val="17"/>
        </w:rPr>
        <w:t xml:space="preserve">  |  Southampton, UK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High 2:1 performance across Years 1 and 2; targeting First-Class Honours in the final year.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Selected modules: Foundations of Business Analytics, Operations Management, Management Accounting, Consulting, Digital Technologies in Business and Management of Information Systems.</w:t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LEADERSHIP &amp; ADDITIONAL EXPERIENCE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Co-President</w:t>
      </w:r>
      <w:r>
        <w:rPr>
          <w:rFonts w:ascii="Arial" w:hAnsi="Arial"/>
          <w:b/>
          <w:i w:val="0"/>
          <w:color w:val="17191F"/>
          <w:sz w:val="19"/>
        </w:rPr>
        <w:t xml:space="preserve">  |  University of Southampton Indian Society</w:t>
      </w:r>
      <w:r>
        <w:rPr>
          <w:rFonts w:ascii="Arial" w:hAnsi="Arial"/>
          <w:b w:val="0"/>
          <w:i w:val="0"/>
          <w:color w:val="555B66"/>
          <w:sz w:val="18"/>
        </w:rPr>
        <w:t xml:space="preserve">  |  May 2026 – Present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Lead committee delivery and coordinate inclusive cultural, social and sports activity for the university community.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Events Representative</w:t>
      </w:r>
      <w:r>
        <w:rPr>
          <w:rFonts w:ascii="Arial" w:hAnsi="Arial"/>
          <w:b/>
          <w:i w:val="0"/>
          <w:color w:val="17191F"/>
          <w:sz w:val="19"/>
        </w:rPr>
        <w:t xml:space="preserve">  |  University of Southampton Indian Society</w:t>
      </w:r>
      <w:r>
        <w:rPr>
          <w:rFonts w:ascii="Arial" w:hAnsi="Arial"/>
          <w:b w:val="0"/>
          <w:i w:val="0"/>
          <w:color w:val="555B66"/>
          <w:sz w:val="18"/>
        </w:rPr>
        <w:t xml:space="preserve">  |  May 2025 – May 2026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Supported event planning, stakeholder communication and on-campus community building.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Freshers Assistant</w:t>
      </w:r>
      <w:r>
        <w:rPr>
          <w:rFonts w:ascii="Arial" w:hAnsi="Arial"/>
          <w:b/>
          <w:i w:val="0"/>
          <w:color w:val="17191F"/>
          <w:sz w:val="19"/>
        </w:rPr>
        <w:t xml:space="preserve">  |  University of Southampton Students’ Union</w:t>
      </w:r>
      <w:r>
        <w:rPr>
          <w:rFonts w:ascii="Arial" w:hAnsi="Arial"/>
          <w:b w:val="0"/>
          <w:i w:val="0"/>
          <w:color w:val="555B66"/>
          <w:sz w:val="18"/>
        </w:rPr>
        <w:t xml:space="preserve">  |  Sep – Oct 2025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Supported high-volume welcome activity and communicated Students’ Union services to new students.</w:t>
      </w:r>
    </w:p>
    <w:p>
      <w:pPr>
        <w:keepNext/>
        <w:spacing w:before="68" w:after="16"/>
      </w:pPr>
      <w:r>
        <w:rPr>
          <w:rFonts w:ascii="Arial" w:hAnsi="Arial"/>
          <w:b/>
          <w:i w:val="0"/>
          <w:color w:val="11233F"/>
          <w:sz w:val="19"/>
        </w:rPr>
        <w:t>Store Executive</w:t>
      </w:r>
      <w:r>
        <w:rPr>
          <w:rFonts w:ascii="Arial" w:hAnsi="Arial"/>
          <w:b/>
          <w:i w:val="0"/>
          <w:color w:val="17191F"/>
          <w:sz w:val="19"/>
        </w:rPr>
        <w:t xml:space="preserve">  |  Aarushi Security Infra</w:t>
      </w:r>
      <w:r>
        <w:rPr>
          <w:rFonts w:ascii="Arial" w:hAnsi="Arial"/>
          <w:b w:val="0"/>
          <w:i w:val="0"/>
          <w:color w:val="555B66"/>
          <w:sz w:val="18"/>
        </w:rPr>
        <w:t xml:space="preserve">  |  Apr 2023 – May 2024</w:t>
      </w:r>
      <w:r>
        <w:rPr>
          <w:rFonts w:ascii="Arial" w:hAnsi="Arial"/>
          <w:b w:val="0"/>
          <w:i/>
          <w:color w:val="555B66"/>
          <w:sz w:val="17"/>
        </w:rPr>
        <w:t xml:space="preserve">  |  Indore, India</w:t>
      </w:r>
    </w:p>
    <w:p>
      <w:pPr>
        <w:keepLines/>
        <w:numPr>
          <w:ilvl w:val="0"/>
          <w:numId w:val="10"/>
        </w:numPr>
        <w:spacing w:before="0" w:after="32" w:line="240" w:lineRule="auto"/>
      </w:pPr>
      <w:r>
        <w:rPr>
          <w:rFonts w:ascii="Arial" w:hAnsi="Arial"/>
          <w:b w:val="0"/>
          <w:i w:val="0"/>
          <w:color w:val="17191F"/>
          <w:sz w:val="19"/>
        </w:rPr>
        <w:t>Managed billing, customer interactions and store setup, supporting reliable day-to-day operations alongside study.</w:t>
      </w:r>
    </w:p>
    <w:p>
      <w:pPr>
        <w:keepNext/>
        <w:spacing w:before="190" w:after="76"/>
        <w:pBdr>
          <w:bottom w:val="single" w:sz="10" w:space="3" w:color="2453FF"/>
        </w:pBdr>
      </w:pPr>
      <w:r>
        <w:rPr>
          <w:rFonts w:ascii="Arial" w:hAnsi="Arial"/>
          <w:b/>
          <w:i w:val="0"/>
          <w:color w:val="11233F"/>
          <w:sz w:val="21"/>
        </w:rPr>
        <w:t>SELECTED CERTIFICATIONS</w:t>
      </w:r>
    </w:p>
    <w:p>
      <w:pPr>
        <w:spacing w:after="40" w:line="252" w:lineRule="auto"/>
      </w:pPr>
      <w:r>
        <w:rPr>
          <w:rFonts w:ascii="Arial" w:hAnsi="Arial"/>
          <w:b/>
          <w:i w:val="0"/>
          <w:color w:val="17191F"/>
          <w:sz w:val="17"/>
        </w:rPr>
        <w:t xml:space="preserve">Red Bull On-Premise Sales Job Simulation (Forage), Apr 2025  ·  </w:t>
      </w:r>
      <w:r>
        <w:rPr>
          <w:rFonts w:ascii="Arial" w:hAnsi="Arial"/>
          <w:b w:val="0"/>
          <w:i w:val="0"/>
          <w:color w:val="17191F"/>
          <w:sz w:val="17"/>
        </w:rPr>
        <w:t>Business Writing Principles (LinkedIn Learning), Jul 2024  ·  Administrative Professional Foundations (LinkedIn Learning), Jul 2024  ·  Data Security — Student Staff (SUSU), Aug 2025  ·  Mental Health Awareness (SUSU), Aug 2025</w:t>
      </w:r>
    </w:p>
    <w:p>
      <w:pPr>
        <w:spacing w:before="100" w:after="0"/>
        <w:jc w:val="left"/>
      </w:pPr>
      <w:r>
        <w:rPr>
          <w:rFonts w:ascii="Arial" w:hAnsi="Arial"/>
          <w:b w:val="0"/>
          <w:i/>
          <w:color w:val="555B66"/>
          <w:sz w:val="15"/>
        </w:rPr>
        <w:t>References available through verified LinkedIn recommendations. Full project datasets, code and assumptions are available in the linked portfolio.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1906" w:h="16838"/>
      <w:pgMar w:top="907" w:right="907" w:bottom="907" w:left="907" w:header="425" w:footer="42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91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5752"/>
      <w:gridCol w:w="4339"/>
    </w:tblGrid>
    <w:tr>
      <w:tc>
        <w:tcPr>
          <w:tcW w:type="dxa" w:w="5752"/>
          <w:tcMar>
            <w:top w:w="20" w:type="dxa"/>
            <w:start w:w="0" w:type="dxa"/>
            <w:bottom w:w="0" w:type="dxa"/>
            <w:end w:w="0" w:type="dxa"/>
          </w:tcMar>
        </w:tcPr>
        <w:p>
          <w:r>
            <w:rPr>
              <w:rFonts w:ascii="Arial" w:hAnsi="Arial"/>
              <w:b w:val="0"/>
              <w:i w:val="0"/>
              <w:color w:val="555B66"/>
              <w:sz w:val="14"/>
            </w:rPr>
            <w:t>Portfolio: abhishekchoudhary.website</w:t>
          </w:r>
        </w:p>
      </w:tc>
      <w:tc>
        <w:tcPr>
          <w:tcW w:type="dxa" w:w="4339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555B66"/>
              <w:sz w:val="15"/>
            </w:rPr>
            <w:t xml:space="preserve">Page </w:t>
          </w:r>
          <w:r>
            <w:rPr>
              <w:rFonts w:ascii="Arial" w:hAnsi="Arial"/>
              <w:b w:val="0"/>
              <w:i w:val="0"/>
              <w:color w:val="555B66"/>
              <w:sz w:val="15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91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5752"/>
      <w:gridCol w:w="4339"/>
    </w:tblGrid>
    <w:tr>
      <w:tc>
        <w:tcPr>
          <w:tcW w:type="dxa" w:w="5752"/>
          <w:tcMar>
            <w:top w:w="20" w:type="dxa"/>
            <w:start w:w="0" w:type="dxa"/>
            <w:bottom w:w="0" w:type="dxa"/>
            <w:end w:w="0" w:type="dxa"/>
          </w:tcMar>
        </w:tcPr>
        <w:p>
          <w:r>
            <w:rPr>
              <w:rFonts w:ascii="Arial" w:hAnsi="Arial"/>
              <w:b w:val="0"/>
              <w:i w:val="0"/>
              <w:color w:val="555B66"/>
              <w:sz w:val="14"/>
            </w:rPr>
            <w:t>Portfolio: abhishekchoudhary.website</w:t>
          </w:r>
        </w:p>
      </w:tc>
      <w:tc>
        <w:tcPr>
          <w:tcW w:type="dxa" w:w="4339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555B66"/>
              <w:sz w:val="15"/>
            </w:rPr>
            <w:t xml:space="preserve">Page </w:t>
          </w:r>
          <w:r>
            <w:rPr>
              <w:rFonts w:ascii="Arial" w:hAnsi="Arial"/>
              <w:b w:val="0"/>
              <w:i w:val="0"/>
              <w:color w:val="555B66"/>
              <w:sz w:val="15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91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5752"/>
      <w:gridCol w:w="4339"/>
    </w:tblGrid>
    <w:tr>
      <w:tc>
        <w:tcPr>
          <w:tcW w:type="dxa" w:w="5752"/>
          <w:tcMar>
            <w:top w:w="0" w:type="dxa"/>
            <w:start w:w="0" w:type="dxa"/>
            <w:bottom w:w="20" w:type="dxa"/>
            <w:end w:w="0" w:type="dxa"/>
          </w:tcMar>
        </w:tcPr>
        <w:p>
          <w:r>
            <w:rPr>
              <w:rFonts w:ascii="Arial" w:hAnsi="Arial"/>
              <w:b/>
              <w:i w:val="0"/>
              <w:color w:val="11233F"/>
              <w:sz w:val="15"/>
            </w:rPr>
            <w:t>ABHISHEK CHOUDHARY</w:t>
          </w:r>
        </w:p>
      </w:tc>
      <w:tc>
        <w:tcPr>
          <w:tcW w:type="dxa" w:w="4339"/>
          <w:tcMar>
            <w:top w:w="0" w:type="dxa"/>
            <w:start w:w="0" w:type="dxa"/>
            <w:bottom w:w="20" w:type="dxa"/>
            <w:end w:w="0" w:type="dxa"/>
          </w:tcMar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555B66"/>
              <w:sz w:val="15"/>
            </w:rPr>
            <w:t>BUSINESS ANALYTICS CV</w:t>
          </w:r>
        </w:p>
      </w:tc>
    </w:tr>
  </w:tbl>
  <w:p>
    <w:pPr>
      <w:spacing w:after="0"/>
      <w:pBdr>
        <w:bottom w:val="single" w:sz="6" w:space="0" w:color="CBD1D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30"/>
        </w:tabs>
        <w:ind w:left="330" w:hanging="180"/>
      </w:pPr>
      <w:rPr>
        <w:rFonts w:ascii="Arial" w:hAnsi="Arial"/>
        <w:color w:val="2453FF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50" w:line="252" w:lineRule="auto"/>
    </w:pPr>
    <w:rPr>
      <w:rFonts w:ascii="Arial" w:hAnsi="Arial"/>
      <w:color w:val="17191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mailto:abhishekin2005@gmail.com" TargetMode="External"/><Relationship Id="rId13" Type="http://schemas.openxmlformats.org/officeDocument/2006/relationships/hyperlink" Target="https://www.linkedin.com/in/abhishekchoudhary1210/" TargetMode="External"/><Relationship Id="rId14" Type="http://schemas.openxmlformats.org/officeDocument/2006/relationships/hyperlink" Target="https://abhishekchoudhary.web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Abhishek Choudhary — Business Analytics CV</dc:title>
  <dc:subject>UK-format business analytics curriculum vitae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